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67" w:rsidRDefault="00730167" w:rsidP="00730167">
      <w:pPr>
        <w:jc w:val="both"/>
        <w:rPr>
          <w:rFonts w:ascii="Trebuchet MS" w:hAnsi="Trebuchet MS"/>
          <w:sz w:val="22"/>
          <w:szCs w:val="22"/>
        </w:rPr>
      </w:pPr>
      <w:bookmarkStart w:id="0" w:name="_GoBack"/>
      <w:bookmarkEnd w:id="0"/>
      <w:r>
        <w:rPr>
          <w:rFonts w:ascii="Trebuchet MS" w:hAnsi="Trebuchet MS"/>
          <w:noProof/>
          <w:sz w:val="22"/>
          <w:szCs w:val="22"/>
        </w:rPr>
        <mc:AlternateContent>
          <mc:Choice Requires="wps">
            <w:drawing>
              <wp:anchor distT="0" distB="0" distL="114300" distR="114300" simplePos="0" relativeHeight="251659264" behindDoc="1" locked="0" layoutInCell="0" allowOverlap="1" wp14:anchorId="3E633B8E" wp14:editId="7FF09524">
                <wp:simplePos x="0" y="0"/>
                <wp:positionH relativeFrom="margin">
                  <wp:posOffset>-4445</wp:posOffset>
                </wp:positionH>
                <wp:positionV relativeFrom="paragraph">
                  <wp:posOffset>100965</wp:posOffset>
                </wp:positionV>
                <wp:extent cx="6553200" cy="904875"/>
                <wp:effectExtent l="0" t="0" r="19050" b="28575"/>
                <wp:wrapSquare wrapText="bothSides"/>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4875"/>
                        </a:xfrm>
                        <a:prstGeom prst="rect">
                          <a:avLst/>
                        </a:prstGeom>
                        <a:solidFill>
                          <a:schemeClr val="bg2"/>
                        </a:solidFill>
                        <a:ln>
                          <a:solidFill>
                            <a:schemeClr val="bg2"/>
                          </a:solidFill>
                        </a:ln>
                      </wps:spPr>
                      <wps:txbx>
                        <w:txbxContent>
                          <w:p w:rsidR="00880744" w:rsidRDefault="00730167" w:rsidP="00730167">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PE Nº </w:t>
                            </w:r>
                            <w:r w:rsidR="00880744">
                              <w:rPr>
                                <w:rFonts w:ascii="Trebuchet MS" w:eastAsia="Arial" w:hAnsi="Trebuchet MS" w:cs="Arial"/>
                                <w:b/>
                                <w:color w:val="auto"/>
                              </w:rPr>
                              <w:t>129/2017</w:t>
                            </w:r>
                          </w:p>
                          <w:p w:rsidR="00880744" w:rsidRDefault="00880744" w:rsidP="00730167">
                            <w:pPr>
                              <w:tabs>
                                <w:tab w:val="left" w:pos="0"/>
                              </w:tabs>
                              <w:ind w:right="553"/>
                              <w:rPr>
                                <w:rFonts w:ascii="Trebuchet MS" w:eastAsia="Arial" w:hAnsi="Trebuchet MS" w:cs="Arial"/>
                                <w:b/>
                                <w:color w:val="auto"/>
                              </w:rPr>
                            </w:pPr>
                          </w:p>
                          <w:p w:rsidR="00730167" w:rsidRDefault="00880744" w:rsidP="00730167">
                            <w:pPr>
                              <w:tabs>
                                <w:tab w:val="left" w:pos="0"/>
                              </w:tabs>
                              <w:ind w:right="553"/>
                              <w:rPr>
                                <w:rFonts w:ascii="Trebuchet MS" w:eastAsia="Arial" w:hAnsi="Trebuchet MS" w:cs="Arial"/>
                                <w:b/>
                                <w:color w:val="007CC6"/>
                              </w:rPr>
                            </w:pPr>
                            <w:r>
                              <w:rPr>
                                <w:rFonts w:ascii="Trebuchet MS" w:eastAsia="Arial" w:hAnsi="Trebuchet MS" w:cs="Arial"/>
                                <w:b/>
                                <w:color w:val="007CC6"/>
                              </w:rPr>
                              <w:t>PR</w:t>
                            </w:r>
                            <w:r w:rsidR="00730167" w:rsidRPr="0054744B">
                              <w:rPr>
                                <w:rFonts w:ascii="Trebuchet MS" w:eastAsia="Arial" w:hAnsi="Trebuchet MS" w:cs="Arial"/>
                                <w:b/>
                                <w:color w:val="007CC6"/>
                              </w:rPr>
                              <w:t>OYECTO DE LEY</w:t>
                            </w:r>
                            <w:r>
                              <w:rPr>
                                <w:rFonts w:ascii="Trebuchet MS" w:eastAsia="Arial" w:hAnsi="Trebuchet MS" w:cs="Arial"/>
                                <w:b/>
                                <w:color w:val="007CC6"/>
                              </w:rPr>
                              <w:t xml:space="preserve"> </w:t>
                            </w:r>
                          </w:p>
                          <w:p w:rsidR="00880744" w:rsidRPr="00880744" w:rsidRDefault="00880744" w:rsidP="00730167">
                            <w:pPr>
                              <w:tabs>
                                <w:tab w:val="left" w:pos="0"/>
                              </w:tabs>
                              <w:ind w:right="553"/>
                              <w:rPr>
                                <w:rFonts w:ascii="Trebuchet MS" w:eastAsia="Arial" w:hAnsi="Trebuchet MS" w:cs="Arial"/>
                                <w:b/>
                                <w:color w:val="auto"/>
                              </w:rPr>
                            </w:pPr>
                            <w:r w:rsidRPr="00880744">
                              <w:rPr>
                                <w:rFonts w:ascii="Trebuchet MS" w:eastAsia="Arial" w:hAnsi="Trebuchet MS" w:cs="Arial"/>
                                <w:b/>
                                <w:color w:val="auto"/>
                              </w:rPr>
                              <w:t xml:space="preserve">Reforma del Sistema Integrado Previsional Argentino (SIPA) </w:t>
                            </w:r>
                          </w:p>
                          <w:p w:rsidR="00730167" w:rsidRDefault="00730167" w:rsidP="00730167">
                            <w:pPr>
                              <w:tabs>
                                <w:tab w:val="left" w:pos="851"/>
                              </w:tabs>
                              <w:ind w:right="553"/>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633B8E" id="4 Rectángulo" o:spid="_x0000_s1026" style="position:absolute;left:0;text-align:left;margin-left:-.35pt;margin-top:7.95pt;width:516pt;height:7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" o:allowincell="f" fillcolor="#eeece1 [3214]" strokecolor="#eeece1 [3214]">
                <v:path arrowok="t"/>
                <v:textbox inset="2.53958mm,2.53958mm,2.53958mm,2.53958mm">
                  <w:txbxContent>
                    <w:p w:rsidR="00880744" w:rsidRDefault="00730167" w:rsidP="00730167">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PE Nº </w:t>
                      </w:r>
                      <w:r w:rsidR="00880744">
                        <w:rPr>
                          <w:rFonts w:ascii="Trebuchet MS" w:eastAsia="Arial" w:hAnsi="Trebuchet MS" w:cs="Arial"/>
                          <w:b/>
                          <w:color w:val="auto"/>
                        </w:rPr>
                        <w:t>129/2017</w:t>
                      </w:r>
                    </w:p>
                    <w:p w:rsidR="00880744" w:rsidRDefault="00880744" w:rsidP="00730167">
                      <w:pPr>
                        <w:tabs>
                          <w:tab w:val="left" w:pos="0"/>
                        </w:tabs>
                        <w:ind w:right="553"/>
                        <w:rPr>
                          <w:rFonts w:ascii="Trebuchet MS" w:eastAsia="Arial" w:hAnsi="Trebuchet MS" w:cs="Arial"/>
                          <w:b/>
                          <w:color w:val="auto"/>
                        </w:rPr>
                      </w:pPr>
                    </w:p>
                    <w:p w:rsidR="00730167" w:rsidRDefault="00880744" w:rsidP="00730167">
                      <w:pPr>
                        <w:tabs>
                          <w:tab w:val="left" w:pos="0"/>
                        </w:tabs>
                        <w:ind w:right="553"/>
                        <w:rPr>
                          <w:rFonts w:ascii="Trebuchet MS" w:eastAsia="Arial" w:hAnsi="Trebuchet MS" w:cs="Arial"/>
                          <w:b/>
                          <w:color w:val="007CC6"/>
                        </w:rPr>
                      </w:pPr>
                      <w:r>
                        <w:rPr>
                          <w:rFonts w:ascii="Trebuchet MS" w:eastAsia="Arial" w:hAnsi="Trebuchet MS" w:cs="Arial"/>
                          <w:b/>
                          <w:color w:val="007CC6"/>
                        </w:rPr>
                        <w:t>PR</w:t>
                      </w:r>
                      <w:r w:rsidR="00730167" w:rsidRPr="0054744B">
                        <w:rPr>
                          <w:rFonts w:ascii="Trebuchet MS" w:eastAsia="Arial" w:hAnsi="Trebuchet MS" w:cs="Arial"/>
                          <w:b/>
                          <w:color w:val="007CC6"/>
                        </w:rPr>
                        <w:t>OYECTO DE LEY</w:t>
                      </w:r>
                      <w:r>
                        <w:rPr>
                          <w:rFonts w:ascii="Trebuchet MS" w:eastAsia="Arial" w:hAnsi="Trebuchet MS" w:cs="Arial"/>
                          <w:b/>
                          <w:color w:val="007CC6"/>
                        </w:rPr>
                        <w:t xml:space="preserve"> </w:t>
                      </w:r>
                    </w:p>
                    <w:p w:rsidR="00880744" w:rsidRPr="00880744" w:rsidRDefault="00880744" w:rsidP="00730167">
                      <w:pPr>
                        <w:tabs>
                          <w:tab w:val="left" w:pos="0"/>
                        </w:tabs>
                        <w:ind w:right="553"/>
                        <w:rPr>
                          <w:rFonts w:ascii="Trebuchet MS" w:eastAsia="Arial" w:hAnsi="Trebuchet MS" w:cs="Arial"/>
                          <w:b/>
                          <w:color w:val="auto"/>
                        </w:rPr>
                      </w:pPr>
                      <w:r w:rsidRPr="00880744">
                        <w:rPr>
                          <w:rFonts w:ascii="Trebuchet MS" w:eastAsia="Arial" w:hAnsi="Trebuchet MS" w:cs="Arial"/>
                          <w:b/>
                          <w:color w:val="auto"/>
                        </w:rPr>
                        <w:t xml:space="preserve">Reforma del Sistema Integrado Previsional Argentino (SIPA) </w:t>
                      </w:r>
                    </w:p>
                    <w:p w:rsidR="00730167" w:rsidRDefault="00730167" w:rsidP="00730167">
                      <w:pPr>
                        <w:tabs>
                          <w:tab w:val="left" w:pos="851"/>
                        </w:tabs>
                        <w:ind w:right="553"/>
                        <w:textDirection w:val="btLr"/>
                      </w:pPr>
                    </w:p>
                  </w:txbxContent>
                </v:textbox>
                <w10:wrap type="square" anchorx="margin"/>
              </v:rect>
            </w:pict>
          </mc:Fallback>
        </mc:AlternateContent>
      </w:r>
    </w:p>
    <w:p w:rsidR="00730167" w:rsidRPr="007D7EF6" w:rsidRDefault="00730167" w:rsidP="00730167">
      <w:pPr>
        <w:ind w:left="851"/>
        <w:jc w:val="both"/>
        <w:rPr>
          <w:rFonts w:ascii="Trebuchet MS" w:hAnsi="Trebuchet MS"/>
          <w:sz w:val="22"/>
          <w:szCs w:val="22"/>
        </w:rPr>
      </w:pPr>
    </w:p>
    <w:p w:rsidR="00730167" w:rsidRDefault="00295F84" w:rsidP="00730167">
      <w:pPr>
        <w:pStyle w:val="Prrafodelista"/>
        <w:numPr>
          <w:ilvl w:val="0"/>
          <w:numId w:val="1"/>
        </w:numPr>
        <w:tabs>
          <w:tab w:val="left" w:pos="426"/>
        </w:tabs>
        <w:ind w:left="142" w:firstLine="0"/>
        <w:rPr>
          <w:rFonts w:ascii="Trebuchet MS" w:hAnsi="Trebuchet MS"/>
          <w:b/>
          <w:color w:val="007CC6"/>
          <w:sz w:val="22"/>
          <w:szCs w:val="22"/>
        </w:rPr>
      </w:pPr>
      <w:r>
        <w:rPr>
          <w:rFonts w:ascii="Trebuchet MS" w:hAnsi="Trebuchet MS"/>
          <w:b/>
          <w:color w:val="007CC6"/>
          <w:sz w:val="22"/>
          <w:szCs w:val="22"/>
        </w:rPr>
        <w:t xml:space="preserve">Resumen del Mensaje </w:t>
      </w:r>
    </w:p>
    <w:p w:rsidR="00295F84" w:rsidRPr="007D7EF6" w:rsidRDefault="00295F84" w:rsidP="00295F84">
      <w:pPr>
        <w:pStyle w:val="Prrafodelista"/>
        <w:tabs>
          <w:tab w:val="left" w:pos="426"/>
        </w:tabs>
        <w:ind w:left="142"/>
        <w:rPr>
          <w:rFonts w:ascii="Trebuchet MS" w:hAnsi="Trebuchet MS"/>
          <w:b/>
          <w:color w:val="007CC6"/>
          <w:sz w:val="22"/>
          <w:szCs w:val="22"/>
        </w:rPr>
      </w:pPr>
    </w:p>
    <w:p w:rsidR="00730167" w:rsidRPr="00295F84" w:rsidRDefault="00295F84" w:rsidP="00295F84">
      <w:pPr>
        <w:pStyle w:val="Prrafodelista"/>
        <w:numPr>
          <w:ilvl w:val="0"/>
          <w:numId w:val="2"/>
        </w:numPr>
        <w:ind w:left="426"/>
        <w:jc w:val="both"/>
        <w:rPr>
          <w:rFonts w:ascii="Trebuchet MS" w:eastAsia="Arial" w:hAnsi="Trebuchet MS" w:cs="Arial"/>
          <w:color w:val="007CC6"/>
          <w:sz w:val="22"/>
          <w:szCs w:val="22"/>
        </w:rPr>
      </w:pPr>
      <w:r>
        <w:rPr>
          <w:rFonts w:ascii="Trebuchet MS" w:hAnsi="Trebuchet MS"/>
        </w:rPr>
        <w:t xml:space="preserve">La reforma consiste en </w:t>
      </w:r>
      <w:r w:rsidRPr="00295F84">
        <w:rPr>
          <w:rFonts w:ascii="Trebuchet MS" w:hAnsi="Trebuchet MS"/>
        </w:rPr>
        <w:t>modifica</w:t>
      </w:r>
      <w:r>
        <w:rPr>
          <w:rFonts w:ascii="Trebuchet MS" w:hAnsi="Trebuchet MS"/>
        </w:rPr>
        <w:t xml:space="preserve">r </w:t>
      </w:r>
      <w:r w:rsidRPr="00295F84">
        <w:rPr>
          <w:rFonts w:ascii="Trebuchet MS" w:hAnsi="Trebuchet MS"/>
        </w:rPr>
        <w:t>la movilidad jubilatoria, establec</w:t>
      </w:r>
      <w:r>
        <w:rPr>
          <w:rFonts w:ascii="Trebuchet MS" w:hAnsi="Trebuchet MS"/>
        </w:rPr>
        <w:t>er</w:t>
      </w:r>
      <w:r w:rsidRPr="00295F84">
        <w:rPr>
          <w:rFonts w:ascii="Trebuchet MS" w:hAnsi="Trebuchet MS"/>
        </w:rPr>
        <w:t xml:space="preserve"> una Garantía adicional para los haberes de jubilación equivalente al 82% del Salario Mínimo Vital y Móvil para aquellas personas que hubieran cumplido los 30 años de servicio con aportes efectivos y facilitar la opción de permanencia en actividad a quienes estén en condiciones de acogerse al beneficio previsional por haber cumplido la edad mínima requerida y contar con el número de años de servicios exigidos por la Ley</w:t>
      </w:r>
      <w:r>
        <w:rPr>
          <w:rFonts w:ascii="Trebuchet MS" w:hAnsi="Trebuchet MS"/>
        </w:rPr>
        <w:t>.</w:t>
      </w:r>
    </w:p>
    <w:p w:rsidR="00730167" w:rsidRPr="00295F84" w:rsidRDefault="00730167" w:rsidP="00295F84">
      <w:pPr>
        <w:pStyle w:val="Prrafodelista"/>
        <w:ind w:left="426"/>
        <w:jc w:val="both"/>
        <w:rPr>
          <w:rFonts w:ascii="Trebuchet MS" w:eastAsia="Arial" w:hAnsi="Trebuchet MS" w:cs="Arial"/>
          <w:color w:val="007CC6"/>
          <w:sz w:val="22"/>
          <w:szCs w:val="22"/>
        </w:rPr>
      </w:pPr>
    </w:p>
    <w:p w:rsidR="00295F84" w:rsidRDefault="00295F84" w:rsidP="00295F84">
      <w:pPr>
        <w:pStyle w:val="Prrafodelista"/>
        <w:numPr>
          <w:ilvl w:val="0"/>
          <w:numId w:val="2"/>
        </w:numPr>
        <w:ind w:left="426"/>
        <w:jc w:val="both"/>
        <w:rPr>
          <w:rFonts w:ascii="Trebuchet MS" w:hAnsi="Trebuchet MS"/>
        </w:rPr>
      </w:pPr>
      <w:r w:rsidRPr="00295F84">
        <w:rPr>
          <w:rFonts w:ascii="Trebuchet MS" w:hAnsi="Trebuchet MS"/>
        </w:rPr>
        <w:t>La revalorización de las prestaciones</w:t>
      </w:r>
      <w:r w:rsidR="00A554DC">
        <w:rPr>
          <w:rFonts w:ascii="Trebuchet MS" w:hAnsi="Trebuchet MS"/>
        </w:rPr>
        <w:t xml:space="preserve"> será automática </w:t>
      </w:r>
      <w:r w:rsidRPr="00295F84">
        <w:rPr>
          <w:rFonts w:ascii="Trebuchet MS" w:hAnsi="Trebuchet MS"/>
        </w:rPr>
        <w:t>a través del índice de precios al consumidor</w:t>
      </w:r>
      <w:r>
        <w:rPr>
          <w:rFonts w:ascii="Trebuchet MS" w:hAnsi="Trebuchet MS"/>
        </w:rPr>
        <w:t>.</w:t>
      </w:r>
    </w:p>
    <w:p w:rsidR="00295F84" w:rsidRPr="00295F84" w:rsidRDefault="00295F84" w:rsidP="00295F84">
      <w:pPr>
        <w:pStyle w:val="Prrafodelista"/>
        <w:rPr>
          <w:rFonts w:ascii="Trebuchet MS" w:hAnsi="Trebuchet MS"/>
        </w:rPr>
      </w:pPr>
    </w:p>
    <w:p w:rsidR="00295F84" w:rsidRPr="00295F84" w:rsidRDefault="00295F84" w:rsidP="00295F84">
      <w:pPr>
        <w:pStyle w:val="Prrafodelista"/>
        <w:numPr>
          <w:ilvl w:val="0"/>
          <w:numId w:val="2"/>
        </w:numPr>
        <w:ind w:left="426"/>
        <w:jc w:val="both"/>
        <w:rPr>
          <w:rFonts w:ascii="Trebuchet MS" w:eastAsia="Arial" w:hAnsi="Trebuchet MS" w:cs="Arial"/>
          <w:color w:val="007CC6"/>
          <w:sz w:val="22"/>
          <w:szCs w:val="22"/>
        </w:rPr>
      </w:pPr>
      <w:r>
        <w:rPr>
          <w:rFonts w:ascii="Trebuchet MS" w:hAnsi="Trebuchet MS"/>
        </w:rPr>
        <w:t>L</w:t>
      </w:r>
      <w:r w:rsidRPr="00295F84">
        <w:rPr>
          <w:rFonts w:ascii="Trebuchet MS" w:hAnsi="Trebuchet MS"/>
        </w:rPr>
        <w:t>a mayoría de los países miembros de la ORGANIZACIÓN PARA LA COOPERACIÓN Y EL DESARROLLO ECONÓMICO (OCDE) utilizan la evolución del índice de precios al consumo como instrumento para evitar el deterioro del poder de compra de las pensiones.</w:t>
      </w:r>
    </w:p>
    <w:p w:rsidR="00730167" w:rsidRPr="00295F84" w:rsidRDefault="00730167" w:rsidP="00295F84">
      <w:pPr>
        <w:pStyle w:val="Prrafodelista"/>
        <w:ind w:left="426"/>
        <w:jc w:val="both"/>
        <w:rPr>
          <w:rFonts w:ascii="Trebuchet MS" w:eastAsia="Arial" w:hAnsi="Trebuchet MS" w:cs="Arial"/>
          <w:color w:val="007CC6"/>
          <w:sz w:val="22"/>
          <w:szCs w:val="22"/>
        </w:rPr>
      </w:pPr>
    </w:p>
    <w:p w:rsidR="00730167" w:rsidRDefault="00295F84" w:rsidP="00295F84">
      <w:pPr>
        <w:pStyle w:val="Prrafodelista"/>
        <w:numPr>
          <w:ilvl w:val="0"/>
          <w:numId w:val="2"/>
        </w:numPr>
        <w:ind w:left="426"/>
        <w:jc w:val="both"/>
        <w:rPr>
          <w:rFonts w:ascii="Trebuchet MS" w:hAnsi="Trebuchet MS"/>
        </w:rPr>
      </w:pPr>
      <w:r w:rsidRPr="00295F84">
        <w:rPr>
          <w:rFonts w:ascii="Trebuchet MS" w:hAnsi="Trebuchet MS"/>
        </w:rPr>
        <w:t>Este índice será incrementado con el CINCO POR CIENTO (5%) de la variación porcentual real del Producto Bruto Interno.</w:t>
      </w:r>
    </w:p>
    <w:p w:rsidR="00A554DC" w:rsidRPr="00A554DC" w:rsidRDefault="00A554DC" w:rsidP="00A554DC">
      <w:pPr>
        <w:pStyle w:val="Prrafodelista"/>
        <w:rPr>
          <w:rFonts w:ascii="Trebuchet MS" w:hAnsi="Trebuchet MS"/>
        </w:rPr>
      </w:pPr>
    </w:p>
    <w:p w:rsidR="00A554DC" w:rsidRPr="00295F84" w:rsidRDefault="00A554DC" w:rsidP="00295F84">
      <w:pPr>
        <w:pStyle w:val="Prrafodelista"/>
        <w:numPr>
          <w:ilvl w:val="0"/>
          <w:numId w:val="2"/>
        </w:numPr>
        <w:ind w:left="426"/>
        <w:jc w:val="both"/>
        <w:rPr>
          <w:rFonts w:ascii="Trebuchet MS" w:hAnsi="Trebuchet MS"/>
        </w:rPr>
      </w:pPr>
      <w:r>
        <w:rPr>
          <w:rFonts w:ascii="Trebuchet MS" w:hAnsi="Trebuchet MS"/>
        </w:rPr>
        <w:t>S</w:t>
      </w:r>
      <w:r w:rsidRPr="00A554DC">
        <w:rPr>
          <w:rFonts w:ascii="Trebuchet MS" w:hAnsi="Trebuchet MS"/>
        </w:rPr>
        <w:t>e busca reforzar el principio de proporcionalidad premiando el esfuerzo de cotización realizado, sin perjuicio de tener presente el principio de solidaridad que debe regir todos los institutos que forman parte de la Seguridad Social</w:t>
      </w:r>
    </w:p>
    <w:p w:rsidR="00295F84" w:rsidRPr="00295F84" w:rsidRDefault="00295F84" w:rsidP="00295F84">
      <w:pPr>
        <w:pStyle w:val="Prrafodelista"/>
        <w:ind w:left="426"/>
        <w:jc w:val="both"/>
        <w:rPr>
          <w:rFonts w:ascii="Trebuchet MS" w:hAnsi="Trebuchet MS"/>
        </w:rPr>
      </w:pPr>
    </w:p>
    <w:p w:rsidR="00295F84" w:rsidRPr="00295F84" w:rsidRDefault="00295F84" w:rsidP="00295F84">
      <w:pPr>
        <w:pStyle w:val="Prrafodelista"/>
        <w:numPr>
          <w:ilvl w:val="0"/>
          <w:numId w:val="2"/>
        </w:numPr>
        <w:ind w:left="426"/>
        <w:jc w:val="both"/>
        <w:rPr>
          <w:rFonts w:ascii="Trebuchet MS" w:eastAsia="Arial" w:hAnsi="Trebuchet MS" w:cs="Arial"/>
          <w:color w:val="007CC6"/>
          <w:sz w:val="22"/>
          <w:szCs w:val="22"/>
        </w:rPr>
      </w:pPr>
      <w:r>
        <w:rPr>
          <w:rFonts w:ascii="Trebuchet MS" w:hAnsi="Trebuchet MS"/>
        </w:rPr>
        <w:t>S</w:t>
      </w:r>
      <w:r w:rsidRPr="00295F84">
        <w:rPr>
          <w:rFonts w:ascii="Trebuchet MS" w:hAnsi="Trebuchet MS"/>
        </w:rPr>
        <w:t>e propicia que el empleador pueda usar esta facultad legal recién después de que el trabajador haya cumplido 70 años de edad para permitir la continuidad en el empleo de las personas mayores, incluso aunque estén en condiciones de jubilarse, facilitando su participación en la vida económica de la sociedad, en atención a que el trabajo, además de ser un medio de generación de ingresos, es un ámbito de integración y desarrollo de la persona humana.</w:t>
      </w:r>
    </w:p>
    <w:p w:rsidR="00295F84" w:rsidRPr="00295F84" w:rsidRDefault="00295F84" w:rsidP="00295F84">
      <w:pPr>
        <w:pStyle w:val="Prrafodelista"/>
        <w:rPr>
          <w:rFonts w:ascii="Trebuchet MS" w:eastAsia="Arial" w:hAnsi="Trebuchet MS" w:cs="Arial"/>
          <w:color w:val="007CC6"/>
          <w:sz w:val="22"/>
          <w:szCs w:val="22"/>
        </w:rPr>
      </w:pPr>
    </w:p>
    <w:p w:rsidR="00295F84" w:rsidRPr="00295F84" w:rsidRDefault="00295F84" w:rsidP="00295F84">
      <w:pPr>
        <w:pStyle w:val="Prrafodelista"/>
        <w:ind w:left="426"/>
        <w:jc w:val="both"/>
        <w:rPr>
          <w:rFonts w:ascii="Trebuchet MS" w:eastAsia="Arial" w:hAnsi="Trebuchet MS" w:cs="Arial"/>
          <w:color w:val="007CC6"/>
          <w:sz w:val="22"/>
          <w:szCs w:val="22"/>
        </w:rPr>
      </w:pPr>
    </w:p>
    <w:p w:rsidR="00730167" w:rsidRPr="007D7EF6" w:rsidRDefault="00730167" w:rsidP="00730167">
      <w:pPr>
        <w:pStyle w:val="Prrafodelista"/>
        <w:ind w:left="851"/>
        <w:rPr>
          <w:rFonts w:ascii="Trebuchet MS" w:eastAsia="Arial" w:hAnsi="Trebuchet MS" w:cs="Arial"/>
          <w:b/>
          <w:color w:val="007CC6"/>
          <w:sz w:val="22"/>
          <w:szCs w:val="22"/>
        </w:rPr>
      </w:pPr>
    </w:p>
    <w:p w:rsidR="00730167" w:rsidRPr="007D7EF6" w:rsidRDefault="00730167" w:rsidP="00730167">
      <w:pPr>
        <w:pStyle w:val="Prrafodelista"/>
        <w:numPr>
          <w:ilvl w:val="0"/>
          <w:numId w:val="1"/>
        </w:numPr>
        <w:tabs>
          <w:tab w:val="left" w:pos="426"/>
        </w:tabs>
        <w:ind w:left="142" w:firstLine="0"/>
        <w:rPr>
          <w:rFonts w:ascii="Trebuchet MS" w:hAnsi="Trebuchet MS"/>
          <w:b/>
          <w:color w:val="007CC6"/>
          <w:sz w:val="22"/>
          <w:szCs w:val="22"/>
        </w:rPr>
      </w:pPr>
      <w:r w:rsidRPr="007D7EF6">
        <w:rPr>
          <w:rFonts w:ascii="Trebuchet MS" w:hAnsi="Trebuchet MS"/>
          <w:b/>
          <w:color w:val="007CC6"/>
          <w:sz w:val="22"/>
          <w:szCs w:val="22"/>
        </w:rPr>
        <w:t>Resumen del Proyecto</w:t>
      </w:r>
    </w:p>
    <w:p w:rsidR="00730167" w:rsidRPr="007D7EF6" w:rsidRDefault="00730167" w:rsidP="00730167">
      <w:pPr>
        <w:tabs>
          <w:tab w:val="left" w:pos="2730"/>
        </w:tabs>
        <w:ind w:left="851"/>
        <w:jc w:val="both"/>
        <w:rPr>
          <w:rFonts w:ascii="Trebuchet MS" w:hAnsi="Trebuchet MS"/>
          <w:sz w:val="22"/>
          <w:szCs w:val="22"/>
        </w:rPr>
      </w:pPr>
    </w:p>
    <w:p w:rsidR="00730167" w:rsidRPr="00295F84" w:rsidRDefault="00295F84" w:rsidP="00295F84">
      <w:pPr>
        <w:tabs>
          <w:tab w:val="left" w:pos="2730"/>
        </w:tabs>
        <w:ind w:left="851" w:right="107"/>
        <w:jc w:val="both"/>
        <w:rPr>
          <w:rFonts w:ascii="Trebuchet MS" w:hAnsi="Trebuchet MS"/>
          <w:b/>
        </w:rPr>
      </w:pPr>
      <w:r w:rsidRPr="00295F84">
        <w:rPr>
          <w:rFonts w:ascii="Trebuchet MS" w:hAnsi="Trebuchet MS"/>
          <w:b/>
        </w:rPr>
        <w:t>Índice de Movilidad Jubilatoria</w:t>
      </w:r>
    </w:p>
    <w:p w:rsidR="006A5D79" w:rsidRDefault="00295F84" w:rsidP="00A554DC">
      <w:pPr>
        <w:pStyle w:val="Prrafodelista"/>
        <w:numPr>
          <w:ilvl w:val="0"/>
          <w:numId w:val="3"/>
        </w:numPr>
        <w:tabs>
          <w:tab w:val="left" w:pos="2730"/>
        </w:tabs>
        <w:ind w:left="426" w:right="107"/>
        <w:jc w:val="both"/>
        <w:rPr>
          <w:rFonts w:ascii="Trebuchet MS" w:hAnsi="Trebuchet MS"/>
        </w:rPr>
      </w:pPr>
      <w:r w:rsidRPr="00A554DC">
        <w:rPr>
          <w:rFonts w:ascii="Trebuchet MS" w:hAnsi="Trebuchet MS"/>
        </w:rPr>
        <w:t xml:space="preserve">La movilidad se basará en las variaciones del Nivel General del Índice de Precios al Consumidor Nacional elaborado por el INDEC, conforme la fórmula que se aprueba en el </w:t>
      </w:r>
      <w:r w:rsidRPr="00A554DC">
        <w:rPr>
          <w:rFonts w:ascii="Trebuchet MS" w:hAnsi="Trebuchet MS"/>
        </w:rPr>
        <w:lastRenderedPageBreak/>
        <w:t>Anexo de la presente Ley, y se aplicará trimestralmente en los meses de marzo, junio, septiembre y diciembre de cada año calendario.</w:t>
      </w:r>
    </w:p>
    <w:p w:rsidR="00295F84" w:rsidRPr="00A554DC" w:rsidRDefault="00295F84" w:rsidP="00A554DC">
      <w:pPr>
        <w:pStyle w:val="Prrafodelista"/>
        <w:numPr>
          <w:ilvl w:val="0"/>
          <w:numId w:val="3"/>
        </w:numPr>
        <w:tabs>
          <w:tab w:val="left" w:pos="2730"/>
        </w:tabs>
        <w:ind w:left="426" w:right="107"/>
        <w:jc w:val="both"/>
        <w:rPr>
          <w:rFonts w:ascii="Trebuchet MS" w:hAnsi="Trebuchet MS"/>
        </w:rPr>
      </w:pPr>
      <w:r w:rsidRPr="00A554DC">
        <w:rPr>
          <w:rFonts w:ascii="Trebuchet MS" w:hAnsi="Trebuchet MS"/>
        </w:rPr>
        <w:t xml:space="preserve"> Dicha movilidad será incrementada en el mes de junio de cada año con el CINCO POR CIENTO (5%) de la variación porcentual real del Producto Interno Bruto (PIB).</w:t>
      </w:r>
    </w:p>
    <w:p w:rsidR="00295F84" w:rsidRDefault="00295F84" w:rsidP="00295F84">
      <w:pPr>
        <w:tabs>
          <w:tab w:val="left" w:pos="2730"/>
        </w:tabs>
        <w:ind w:left="851" w:right="107"/>
        <w:jc w:val="both"/>
        <w:rPr>
          <w:rFonts w:ascii="Trebuchet MS" w:hAnsi="Trebuchet MS"/>
        </w:rPr>
      </w:pPr>
    </w:p>
    <w:p w:rsidR="00A554DC" w:rsidRPr="00295F84" w:rsidRDefault="00A554DC" w:rsidP="00295F84">
      <w:pPr>
        <w:tabs>
          <w:tab w:val="left" w:pos="2730"/>
        </w:tabs>
        <w:ind w:left="851" w:right="107"/>
        <w:jc w:val="both"/>
        <w:rPr>
          <w:rFonts w:ascii="Trebuchet MS" w:hAnsi="Trebuchet MS"/>
        </w:rPr>
      </w:pPr>
    </w:p>
    <w:p w:rsidR="00295F84" w:rsidRPr="00295F84" w:rsidRDefault="00295F84" w:rsidP="00295F84">
      <w:pPr>
        <w:tabs>
          <w:tab w:val="left" w:pos="2730"/>
        </w:tabs>
        <w:ind w:left="851" w:right="107"/>
        <w:jc w:val="both"/>
        <w:rPr>
          <w:rFonts w:ascii="Trebuchet MS" w:hAnsi="Trebuchet MS"/>
          <w:b/>
        </w:rPr>
      </w:pPr>
      <w:r w:rsidRPr="00295F84">
        <w:rPr>
          <w:rFonts w:ascii="Trebuchet MS" w:hAnsi="Trebuchet MS"/>
          <w:b/>
        </w:rPr>
        <w:t>Haberes Mínimos Garantizados</w:t>
      </w:r>
    </w:p>
    <w:p w:rsidR="00295F84" w:rsidRPr="00A554DC" w:rsidRDefault="00295F84" w:rsidP="00A554DC">
      <w:pPr>
        <w:pStyle w:val="Prrafodelista"/>
        <w:numPr>
          <w:ilvl w:val="0"/>
          <w:numId w:val="3"/>
        </w:numPr>
        <w:tabs>
          <w:tab w:val="left" w:pos="2730"/>
        </w:tabs>
        <w:ind w:left="426" w:right="107"/>
        <w:jc w:val="both"/>
        <w:rPr>
          <w:rFonts w:ascii="Trebuchet MS" w:hAnsi="Trebuchet MS"/>
        </w:rPr>
      </w:pPr>
      <w:r w:rsidRPr="00A554DC">
        <w:rPr>
          <w:rFonts w:ascii="Trebuchet MS" w:hAnsi="Trebuchet MS"/>
        </w:rPr>
        <w:t>El Estado Nacional garantiza a los beneficiarios de la PRESTACIÓN BÁSICA UNIVERSAL  que acrediten 30 años o más de servicios con aportes efectivos, el pago de un suplemento dinerario hasta alcanzar un haber previsional equivalente 82 % del valor del SALARIO MÍNIMO VITAL Y MÓVIL</w:t>
      </w:r>
      <w:r w:rsidR="006A5D79">
        <w:rPr>
          <w:rFonts w:ascii="Trebuchet MS" w:hAnsi="Trebuchet MS"/>
        </w:rPr>
        <w:t>.</w:t>
      </w:r>
    </w:p>
    <w:p w:rsidR="00295F84" w:rsidRDefault="00295F84" w:rsidP="00295F84">
      <w:pPr>
        <w:tabs>
          <w:tab w:val="left" w:pos="2730"/>
        </w:tabs>
        <w:ind w:left="851" w:right="107"/>
        <w:jc w:val="both"/>
        <w:rPr>
          <w:rFonts w:ascii="Trebuchet MS" w:hAnsi="Trebuchet MS"/>
        </w:rPr>
      </w:pPr>
    </w:p>
    <w:p w:rsidR="00A554DC" w:rsidRPr="00295F84" w:rsidRDefault="00A554DC" w:rsidP="00295F84">
      <w:pPr>
        <w:tabs>
          <w:tab w:val="left" w:pos="2730"/>
        </w:tabs>
        <w:ind w:left="851" w:right="107"/>
        <w:jc w:val="both"/>
        <w:rPr>
          <w:rFonts w:ascii="Trebuchet MS" w:hAnsi="Trebuchet MS"/>
        </w:rPr>
      </w:pPr>
    </w:p>
    <w:p w:rsidR="00295F84" w:rsidRPr="00295F84" w:rsidRDefault="00295F84" w:rsidP="00295F84">
      <w:pPr>
        <w:tabs>
          <w:tab w:val="left" w:pos="2730"/>
        </w:tabs>
        <w:ind w:left="851" w:right="107"/>
        <w:jc w:val="both"/>
        <w:rPr>
          <w:rFonts w:ascii="Trebuchet MS" w:hAnsi="Trebuchet MS"/>
          <w:b/>
        </w:rPr>
      </w:pPr>
      <w:r w:rsidRPr="00295F84">
        <w:rPr>
          <w:rFonts w:ascii="Trebuchet MS" w:hAnsi="Trebuchet MS"/>
          <w:b/>
        </w:rPr>
        <w:t>Facultad del empleador para intimar al trabajador a jubilarse</w:t>
      </w:r>
    </w:p>
    <w:p w:rsidR="006A5D79" w:rsidRPr="006A5D79" w:rsidRDefault="00295F84" w:rsidP="00A554DC">
      <w:pPr>
        <w:pStyle w:val="Prrafodelista"/>
        <w:numPr>
          <w:ilvl w:val="0"/>
          <w:numId w:val="3"/>
        </w:numPr>
        <w:tabs>
          <w:tab w:val="left" w:pos="2730"/>
        </w:tabs>
        <w:ind w:left="426" w:right="107"/>
        <w:jc w:val="both"/>
        <w:rPr>
          <w:rFonts w:ascii="Trebuchet MS" w:hAnsi="Trebuchet MS"/>
          <w:sz w:val="22"/>
          <w:szCs w:val="22"/>
        </w:rPr>
      </w:pPr>
      <w:r w:rsidRPr="00A554DC">
        <w:rPr>
          <w:rFonts w:ascii="Trebuchet MS" w:hAnsi="Trebuchet MS"/>
        </w:rPr>
        <w:t xml:space="preserve">A partir de que el trabajador cumpla 70 años de edad y reúna los requisitos necesarios para acceder a la PRESTACIÓN BÁSICA UNIVERSAL establecida en el artículo 17, inciso a) de la Ley N° 24.241 y sus modificaciones, el empleador podrá intimarlo a que inicie los trámites pertinentes, extendiéndole los certificados de servicios y demás documentación necesaria a esos fines. </w:t>
      </w:r>
    </w:p>
    <w:p w:rsidR="00295F84" w:rsidRPr="00A554DC" w:rsidRDefault="006A5D79" w:rsidP="00A554DC">
      <w:pPr>
        <w:pStyle w:val="Prrafodelista"/>
        <w:numPr>
          <w:ilvl w:val="0"/>
          <w:numId w:val="3"/>
        </w:numPr>
        <w:tabs>
          <w:tab w:val="left" w:pos="2730"/>
        </w:tabs>
        <w:ind w:left="426" w:right="107"/>
        <w:jc w:val="both"/>
        <w:rPr>
          <w:rFonts w:ascii="Trebuchet MS" w:hAnsi="Trebuchet MS"/>
          <w:sz w:val="22"/>
          <w:szCs w:val="22"/>
        </w:rPr>
      </w:pPr>
      <w:r>
        <w:rPr>
          <w:rFonts w:ascii="Trebuchet MS" w:hAnsi="Trebuchet MS"/>
        </w:rPr>
        <w:t>E</w:t>
      </w:r>
      <w:r w:rsidR="00295F84" w:rsidRPr="00A554DC">
        <w:rPr>
          <w:rFonts w:ascii="Trebuchet MS" w:hAnsi="Trebuchet MS"/>
        </w:rPr>
        <w:t>l empleador deberá mantener la relación de trabajo hasta que el trabajador obtenga el beneficio y por un plazo máximo de 1 año.</w:t>
      </w:r>
    </w:p>
    <w:p w:rsidR="00730167" w:rsidRPr="00295F84" w:rsidRDefault="00730167" w:rsidP="00295F84">
      <w:pPr>
        <w:tabs>
          <w:tab w:val="left" w:pos="2730"/>
        </w:tabs>
        <w:ind w:left="851" w:right="107"/>
        <w:jc w:val="both"/>
        <w:rPr>
          <w:rFonts w:ascii="Trebuchet MS" w:hAnsi="Trebuchet MS"/>
          <w:sz w:val="22"/>
          <w:szCs w:val="22"/>
        </w:rPr>
      </w:pPr>
    </w:p>
    <w:p w:rsidR="00730167" w:rsidRDefault="00730167" w:rsidP="00730167">
      <w:pPr>
        <w:tabs>
          <w:tab w:val="left" w:pos="2730"/>
        </w:tabs>
        <w:ind w:left="851"/>
        <w:jc w:val="both"/>
        <w:rPr>
          <w:rFonts w:ascii="Trebuchet MS" w:hAnsi="Trebuchet MS"/>
          <w:sz w:val="22"/>
          <w:szCs w:val="22"/>
        </w:rPr>
      </w:pPr>
    </w:p>
    <w:p w:rsidR="00A554DC" w:rsidRPr="007D7EF6" w:rsidRDefault="00A554DC" w:rsidP="00730167">
      <w:pPr>
        <w:tabs>
          <w:tab w:val="left" w:pos="2730"/>
        </w:tabs>
        <w:ind w:left="851"/>
        <w:jc w:val="both"/>
        <w:rPr>
          <w:rFonts w:ascii="Trebuchet MS" w:hAnsi="Trebuchet MS"/>
          <w:sz w:val="22"/>
          <w:szCs w:val="22"/>
        </w:rPr>
      </w:pPr>
    </w:p>
    <w:p w:rsidR="00730167" w:rsidRPr="007D7EF6" w:rsidRDefault="00730167" w:rsidP="00730167">
      <w:pPr>
        <w:ind w:left="851"/>
        <w:jc w:val="both"/>
        <w:rPr>
          <w:rFonts w:ascii="Trebuchet MS" w:hAnsi="Trebuchet MS"/>
          <w:sz w:val="22"/>
          <w:szCs w:val="22"/>
        </w:rPr>
      </w:pPr>
    </w:p>
    <w:p w:rsidR="00730167" w:rsidRPr="007D7EF6" w:rsidRDefault="00730167" w:rsidP="00730167">
      <w:pPr>
        <w:pStyle w:val="Prrafodelista"/>
        <w:numPr>
          <w:ilvl w:val="0"/>
          <w:numId w:val="1"/>
        </w:numPr>
        <w:tabs>
          <w:tab w:val="left" w:pos="426"/>
        </w:tabs>
        <w:ind w:left="142" w:firstLine="0"/>
        <w:rPr>
          <w:rFonts w:ascii="Trebuchet MS" w:hAnsi="Trebuchet MS"/>
          <w:b/>
          <w:color w:val="007CC6"/>
          <w:sz w:val="22"/>
          <w:szCs w:val="22"/>
        </w:rPr>
      </w:pPr>
      <w:r w:rsidRPr="007D7EF6">
        <w:rPr>
          <w:rFonts w:ascii="Trebuchet MS" w:hAnsi="Trebuchet MS"/>
          <w:b/>
          <w:color w:val="007CC6"/>
          <w:sz w:val="22"/>
          <w:szCs w:val="22"/>
        </w:rPr>
        <w:t xml:space="preserve">Estructura del Proyecto de Ley </w:t>
      </w:r>
    </w:p>
    <w:p w:rsidR="00730167" w:rsidRDefault="00730167" w:rsidP="00730167">
      <w:pPr>
        <w:tabs>
          <w:tab w:val="left" w:pos="2730"/>
        </w:tabs>
        <w:ind w:left="142"/>
        <w:jc w:val="both"/>
        <w:rPr>
          <w:rFonts w:ascii="Trebuchet MS" w:hAnsi="Trebuchet MS"/>
          <w:sz w:val="22"/>
          <w:szCs w:val="22"/>
        </w:rPr>
      </w:pPr>
    </w:p>
    <w:p w:rsidR="00BB606D" w:rsidRPr="00BB606D" w:rsidRDefault="00BB606D" w:rsidP="00BB606D">
      <w:pPr>
        <w:pStyle w:val="Prrafodelista"/>
        <w:numPr>
          <w:ilvl w:val="0"/>
          <w:numId w:val="4"/>
        </w:numPr>
        <w:tabs>
          <w:tab w:val="left" w:pos="2730"/>
        </w:tabs>
        <w:ind w:left="709" w:right="107"/>
        <w:jc w:val="both"/>
        <w:rPr>
          <w:rFonts w:ascii="Trebuchet MS" w:hAnsi="Trebuchet MS"/>
        </w:rPr>
      </w:pPr>
      <w:r w:rsidRPr="00BB606D">
        <w:rPr>
          <w:rFonts w:ascii="Trebuchet MS" w:hAnsi="Trebuchet MS"/>
        </w:rPr>
        <w:t>Índice de Movilidad Jubilatoria – Capítulo I, Arts. 1 al 4.</w:t>
      </w:r>
    </w:p>
    <w:p w:rsidR="00BB606D" w:rsidRPr="00BB606D" w:rsidRDefault="00BB606D" w:rsidP="00BB606D">
      <w:pPr>
        <w:pStyle w:val="Prrafodelista"/>
        <w:numPr>
          <w:ilvl w:val="0"/>
          <w:numId w:val="4"/>
        </w:numPr>
        <w:tabs>
          <w:tab w:val="left" w:pos="2730"/>
        </w:tabs>
        <w:ind w:left="709" w:right="107"/>
        <w:jc w:val="both"/>
        <w:rPr>
          <w:rFonts w:ascii="Trebuchet MS" w:hAnsi="Trebuchet MS"/>
        </w:rPr>
      </w:pPr>
      <w:r w:rsidRPr="00BB606D">
        <w:rPr>
          <w:rFonts w:ascii="Trebuchet MS" w:hAnsi="Trebuchet MS"/>
        </w:rPr>
        <w:t>Haberes Mínimos Garantizados - Capítulo II, Arts. 5 al 6.</w:t>
      </w:r>
    </w:p>
    <w:p w:rsidR="00BB606D" w:rsidRPr="00BB606D" w:rsidRDefault="00BB606D" w:rsidP="00BB606D">
      <w:pPr>
        <w:pStyle w:val="Prrafodelista"/>
        <w:numPr>
          <w:ilvl w:val="0"/>
          <w:numId w:val="4"/>
        </w:numPr>
        <w:tabs>
          <w:tab w:val="left" w:pos="2730"/>
        </w:tabs>
        <w:ind w:left="709" w:right="107"/>
        <w:jc w:val="both"/>
        <w:rPr>
          <w:rFonts w:ascii="Trebuchet MS" w:hAnsi="Trebuchet MS"/>
        </w:rPr>
      </w:pPr>
      <w:r w:rsidRPr="00BB606D">
        <w:rPr>
          <w:rFonts w:ascii="Trebuchet MS" w:hAnsi="Trebuchet MS"/>
        </w:rPr>
        <w:t>Facultad del empleador para intimar al trabajador a jubilarse - Capítulo III, Arts. 7 al 10.</w:t>
      </w:r>
    </w:p>
    <w:p w:rsidR="00BB606D" w:rsidRPr="00BB606D" w:rsidRDefault="00BB606D" w:rsidP="00BB606D">
      <w:pPr>
        <w:pStyle w:val="Prrafodelista"/>
        <w:numPr>
          <w:ilvl w:val="0"/>
          <w:numId w:val="4"/>
        </w:numPr>
        <w:tabs>
          <w:tab w:val="left" w:pos="2730"/>
        </w:tabs>
        <w:ind w:left="709" w:right="107"/>
        <w:jc w:val="both"/>
        <w:rPr>
          <w:rFonts w:ascii="Trebuchet MS" w:hAnsi="Trebuchet MS"/>
        </w:rPr>
      </w:pPr>
      <w:r w:rsidRPr="00BB606D">
        <w:rPr>
          <w:rFonts w:ascii="Trebuchet MS" w:hAnsi="Trebuchet MS"/>
        </w:rPr>
        <w:t>Disposiciones Finales  - Capítulo IV, Arts. 11 y 12.</w:t>
      </w:r>
    </w:p>
    <w:p w:rsidR="00BB606D" w:rsidRPr="00BB606D" w:rsidRDefault="00BB606D" w:rsidP="00BB606D">
      <w:pPr>
        <w:tabs>
          <w:tab w:val="left" w:pos="2730"/>
        </w:tabs>
        <w:ind w:left="851" w:right="107"/>
        <w:jc w:val="both"/>
        <w:rPr>
          <w:rFonts w:ascii="Trebuchet MS" w:hAnsi="Trebuchet MS"/>
        </w:rPr>
      </w:pPr>
    </w:p>
    <w:p w:rsidR="00730167" w:rsidRPr="007D7EF6" w:rsidRDefault="00730167" w:rsidP="00730167">
      <w:pPr>
        <w:tabs>
          <w:tab w:val="left" w:pos="2730"/>
        </w:tabs>
        <w:ind w:left="851"/>
        <w:jc w:val="both"/>
        <w:rPr>
          <w:rFonts w:ascii="Trebuchet MS" w:hAnsi="Trebuchet MS"/>
          <w:sz w:val="22"/>
          <w:szCs w:val="22"/>
        </w:rPr>
      </w:pPr>
    </w:p>
    <w:p w:rsidR="00730167" w:rsidRPr="007D7EF6" w:rsidRDefault="00730167" w:rsidP="00730167">
      <w:pPr>
        <w:tabs>
          <w:tab w:val="left" w:pos="2730"/>
        </w:tabs>
        <w:ind w:left="851"/>
        <w:jc w:val="both"/>
        <w:rPr>
          <w:rFonts w:ascii="Trebuchet MS" w:hAnsi="Trebuchet MS"/>
          <w:sz w:val="22"/>
          <w:szCs w:val="22"/>
        </w:rPr>
      </w:pPr>
    </w:p>
    <w:p w:rsidR="00730167" w:rsidRDefault="00730167" w:rsidP="00730167">
      <w:pPr>
        <w:pStyle w:val="Prrafodelista"/>
        <w:numPr>
          <w:ilvl w:val="0"/>
          <w:numId w:val="1"/>
        </w:numPr>
        <w:tabs>
          <w:tab w:val="left" w:pos="426"/>
        </w:tabs>
        <w:ind w:left="142" w:firstLine="0"/>
        <w:rPr>
          <w:rFonts w:ascii="Trebuchet MS" w:hAnsi="Trebuchet MS"/>
          <w:b/>
          <w:color w:val="007CC6"/>
          <w:sz w:val="22"/>
          <w:szCs w:val="22"/>
        </w:rPr>
      </w:pPr>
      <w:r w:rsidRPr="007D7EF6">
        <w:rPr>
          <w:rFonts w:ascii="Trebuchet MS" w:hAnsi="Trebuchet MS"/>
          <w:b/>
          <w:color w:val="007CC6"/>
          <w:sz w:val="22"/>
          <w:szCs w:val="22"/>
        </w:rPr>
        <w:t>Normas que se modifican</w:t>
      </w:r>
    </w:p>
    <w:p w:rsidR="00BB606D" w:rsidRPr="007D7EF6" w:rsidRDefault="00BB606D" w:rsidP="00BB606D">
      <w:pPr>
        <w:pStyle w:val="Prrafodelista"/>
        <w:tabs>
          <w:tab w:val="left" w:pos="426"/>
        </w:tabs>
        <w:ind w:left="142"/>
        <w:rPr>
          <w:rFonts w:ascii="Trebuchet MS" w:hAnsi="Trebuchet MS"/>
          <w:b/>
          <w:color w:val="007CC6"/>
          <w:sz w:val="22"/>
          <w:szCs w:val="22"/>
        </w:rPr>
      </w:pPr>
    </w:p>
    <w:p w:rsidR="00730167" w:rsidRPr="00BB606D" w:rsidRDefault="00BB606D" w:rsidP="00BB606D">
      <w:pPr>
        <w:pStyle w:val="Prrafodelista"/>
        <w:numPr>
          <w:ilvl w:val="0"/>
          <w:numId w:val="5"/>
        </w:numPr>
        <w:tabs>
          <w:tab w:val="left" w:pos="3345"/>
        </w:tabs>
        <w:ind w:left="709"/>
        <w:jc w:val="both"/>
        <w:rPr>
          <w:rFonts w:ascii="Trebuchet MS" w:eastAsia="Arial" w:hAnsi="Trebuchet MS" w:cs="Arial"/>
          <w:sz w:val="22"/>
          <w:szCs w:val="22"/>
        </w:rPr>
      </w:pPr>
      <w:r w:rsidRPr="00BB606D">
        <w:rPr>
          <w:rFonts w:ascii="Trebuchet MS" w:eastAsia="Arial" w:hAnsi="Trebuchet MS" w:cs="Arial"/>
          <w:sz w:val="22"/>
          <w:szCs w:val="22"/>
        </w:rPr>
        <w:t>Sustituye Art. 32, Art. 97 de la Ley N°24.241</w:t>
      </w:r>
    </w:p>
    <w:p w:rsidR="00BB606D" w:rsidRPr="00BB606D" w:rsidRDefault="00BB606D" w:rsidP="00BB606D">
      <w:pPr>
        <w:pStyle w:val="Prrafodelista"/>
        <w:numPr>
          <w:ilvl w:val="0"/>
          <w:numId w:val="5"/>
        </w:numPr>
        <w:tabs>
          <w:tab w:val="left" w:pos="3345"/>
        </w:tabs>
        <w:ind w:left="709"/>
        <w:jc w:val="both"/>
        <w:rPr>
          <w:rFonts w:ascii="Trebuchet MS" w:eastAsia="Arial" w:hAnsi="Trebuchet MS" w:cs="Arial"/>
          <w:sz w:val="22"/>
          <w:szCs w:val="22"/>
        </w:rPr>
      </w:pPr>
      <w:r w:rsidRPr="00BB606D">
        <w:rPr>
          <w:rFonts w:ascii="Trebuchet MS" w:eastAsia="Arial" w:hAnsi="Trebuchet MS" w:cs="Arial"/>
          <w:sz w:val="22"/>
          <w:szCs w:val="22"/>
        </w:rPr>
        <w:t>Sustituye Art. 2 de la Ley N° 26.417</w:t>
      </w:r>
    </w:p>
    <w:p w:rsidR="00BB606D" w:rsidRPr="00BB606D" w:rsidRDefault="00BB606D" w:rsidP="00BB606D">
      <w:pPr>
        <w:pStyle w:val="Prrafodelista"/>
        <w:numPr>
          <w:ilvl w:val="0"/>
          <w:numId w:val="5"/>
        </w:numPr>
        <w:tabs>
          <w:tab w:val="left" w:pos="3345"/>
        </w:tabs>
        <w:ind w:left="709"/>
        <w:jc w:val="both"/>
        <w:rPr>
          <w:rFonts w:ascii="Trebuchet MS" w:eastAsia="Arial" w:hAnsi="Trebuchet MS" w:cs="Arial"/>
          <w:sz w:val="22"/>
          <w:szCs w:val="22"/>
        </w:rPr>
      </w:pPr>
      <w:r w:rsidRPr="00BB606D">
        <w:rPr>
          <w:rFonts w:ascii="Trebuchet MS" w:eastAsia="Arial" w:hAnsi="Trebuchet MS" w:cs="Arial"/>
          <w:sz w:val="22"/>
          <w:szCs w:val="22"/>
        </w:rPr>
        <w:t>Sustituye Art. 5 de la Ley N°27.260</w:t>
      </w:r>
    </w:p>
    <w:p w:rsidR="00BB606D" w:rsidRPr="00BB606D" w:rsidRDefault="00BB606D" w:rsidP="00BB606D">
      <w:pPr>
        <w:pStyle w:val="Prrafodelista"/>
        <w:numPr>
          <w:ilvl w:val="0"/>
          <w:numId w:val="5"/>
        </w:numPr>
        <w:tabs>
          <w:tab w:val="left" w:pos="3345"/>
        </w:tabs>
        <w:ind w:left="709"/>
        <w:jc w:val="both"/>
        <w:rPr>
          <w:rFonts w:ascii="Trebuchet MS" w:eastAsia="Arial" w:hAnsi="Trebuchet MS" w:cs="Arial"/>
          <w:sz w:val="22"/>
          <w:szCs w:val="22"/>
        </w:rPr>
      </w:pPr>
      <w:r w:rsidRPr="00BB606D">
        <w:rPr>
          <w:rFonts w:ascii="Trebuchet MS" w:eastAsia="Arial" w:hAnsi="Trebuchet MS" w:cs="Arial"/>
          <w:sz w:val="22"/>
          <w:szCs w:val="22"/>
        </w:rPr>
        <w:t>Sustituye Art. 252 y Art 253 de la Ley N°20.744</w:t>
      </w:r>
    </w:p>
    <w:p w:rsidR="00BB606D" w:rsidRPr="007D7EF6" w:rsidRDefault="00BB606D" w:rsidP="00730167">
      <w:pPr>
        <w:tabs>
          <w:tab w:val="left" w:pos="3345"/>
        </w:tabs>
        <w:ind w:left="142"/>
        <w:jc w:val="both"/>
        <w:rPr>
          <w:rFonts w:ascii="Trebuchet MS" w:eastAsia="Arial" w:hAnsi="Trebuchet MS" w:cs="Arial"/>
          <w:sz w:val="22"/>
          <w:szCs w:val="22"/>
        </w:rPr>
      </w:pPr>
    </w:p>
    <w:p w:rsidR="00730167" w:rsidRPr="007D7EF6" w:rsidRDefault="00730167" w:rsidP="00730167">
      <w:pPr>
        <w:tabs>
          <w:tab w:val="left" w:pos="2730"/>
        </w:tabs>
        <w:ind w:left="851"/>
        <w:jc w:val="both"/>
        <w:rPr>
          <w:rFonts w:ascii="Trebuchet MS" w:hAnsi="Trebuchet MS"/>
          <w:sz w:val="22"/>
          <w:szCs w:val="22"/>
        </w:rPr>
      </w:pPr>
    </w:p>
    <w:p w:rsidR="00730167" w:rsidRPr="007D7EF6" w:rsidRDefault="000A4713" w:rsidP="00730167">
      <w:pPr>
        <w:tabs>
          <w:tab w:val="left" w:pos="2730"/>
        </w:tabs>
        <w:ind w:left="851"/>
        <w:jc w:val="both"/>
        <w:rPr>
          <w:rFonts w:ascii="Trebuchet MS" w:hAnsi="Trebuchet MS"/>
          <w:sz w:val="22"/>
          <w:szCs w:val="22"/>
        </w:rPr>
      </w:pPr>
      <w:r>
        <w:rPr>
          <w:noProof/>
        </w:rPr>
        <w:drawing>
          <wp:inline distT="0" distB="0" distL="0" distR="0" wp14:anchorId="5B3F27AC" wp14:editId="20E1CB40">
            <wp:extent cx="5286375" cy="52643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763" t="14211" r="29421" b="13523"/>
                    <a:stretch/>
                  </pic:blipFill>
                  <pic:spPr bwMode="auto">
                    <a:xfrm>
                      <a:off x="0" y="0"/>
                      <a:ext cx="5299590" cy="5277508"/>
                    </a:xfrm>
                    <a:prstGeom prst="rect">
                      <a:avLst/>
                    </a:prstGeom>
                    <a:ln>
                      <a:noFill/>
                    </a:ln>
                    <a:extLst>
                      <a:ext uri="{53640926-AAD7-44D8-BBD7-CCE9431645EC}">
                        <a14:shadowObscured xmlns:a14="http://schemas.microsoft.com/office/drawing/2010/main"/>
                      </a:ext>
                    </a:extLst>
                  </pic:spPr>
                </pic:pic>
              </a:graphicData>
            </a:graphic>
          </wp:inline>
        </w:drawing>
      </w:r>
    </w:p>
    <w:p w:rsidR="00730167" w:rsidRPr="007D7EF6" w:rsidRDefault="00730167" w:rsidP="00730167">
      <w:pPr>
        <w:tabs>
          <w:tab w:val="left" w:pos="2730"/>
        </w:tabs>
        <w:ind w:left="851"/>
        <w:jc w:val="both"/>
        <w:rPr>
          <w:rFonts w:ascii="Trebuchet MS" w:hAnsi="Trebuchet MS"/>
          <w:sz w:val="22"/>
          <w:szCs w:val="22"/>
        </w:rPr>
      </w:pPr>
    </w:p>
    <w:p w:rsidR="00730167" w:rsidRDefault="00730167" w:rsidP="000A4713">
      <w:pPr>
        <w:tabs>
          <w:tab w:val="left" w:pos="2730"/>
        </w:tabs>
        <w:ind w:left="851"/>
        <w:jc w:val="both"/>
        <w:rPr>
          <w:rFonts w:ascii="Trebuchet MS" w:hAnsi="Trebuchet MS"/>
          <w:sz w:val="22"/>
          <w:szCs w:val="22"/>
        </w:rPr>
      </w:pPr>
    </w:p>
    <w:p w:rsidR="000A4713" w:rsidRDefault="000A4713" w:rsidP="000A4713">
      <w:pPr>
        <w:autoSpaceDE w:val="0"/>
        <w:autoSpaceDN w:val="0"/>
        <w:adjustRightInd w:val="0"/>
        <w:ind w:left="851"/>
        <w:rPr>
          <w:rFonts w:ascii="Arial" w:eastAsiaTheme="minorHAnsi" w:hAnsi="Arial" w:cs="Arial"/>
          <w:color w:val="auto"/>
          <w:lang w:eastAsia="en-US"/>
        </w:rPr>
      </w:pPr>
      <w:r>
        <w:rPr>
          <w:rFonts w:ascii="SymbolMT" w:eastAsiaTheme="minorHAnsi" w:hAnsi="SymbolMT" w:cs="SymbolMT"/>
          <w:color w:val="auto"/>
          <w:lang w:eastAsia="en-US"/>
        </w:rPr>
        <w:t xml:space="preserve">• </w:t>
      </w:r>
      <w:r>
        <w:rPr>
          <w:rFonts w:ascii="Cambria Math" w:eastAsia="CambriaMath" w:hAnsi="Cambria Math" w:cs="Cambria Math"/>
          <w:color w:val="auto"/>
          <w:lang w:eastAsia="en-US"/>
        </w:rPr>
        <w:t>𝑀𝑜𝑣</w:t>
      </w:r>
      <w:r>
        <w:rPr>
          <w:rFonts w:ascii="Cambria Math" w:eastAsia="CambriaMath" w:hAnsi="Cambria Math" w:cs="Cambria Math"/>
          <w:color w:val="auto"/>
          <w:sz w:val="17"/>
          <w:szCs w:val="17"/>
          <w:lang w:eastAsia="en-US"/>
        </w:rPr>
        <w:t>𝑚</w:t>
      </w:r>
      <w:r>
        <w:rPr>
          <w:rFonts w:ascii="CambriaMath" w:eastAsia="CambriaMath" w:hAnsi="Arial" w:cs="CambriaMath"/>
          <w:color w:val="auto"/>
          <w:sz w:val="17"/>
          <w:szCs w:val="17"/>
          <w:lang w:eastAsia="en-US"/>
        </w:rPr>
        <w:t xml:space="preserve"> </w:t>
      </w:r>
      <w:r>
        <w:rPr>
          <w:rFonts w:ascii="Cambria Math" w:eastAsia="CambriaMath" w:hAnsi="Cambria Math" w:cs="Cambria Math"/>
          <w:color w:val="auto"/>
          <w:sz w:val="14"/>
          <w:szCs w:val="14"/>
          <w:lang w:eastAsia="en-US"/>
        </w:rPr>
        <w:t>𝑡</w:t>
      </w:r>
      <w:r>
        <w:rPr>
          <w:rFonts w:ascii="CambriaMath" w:eastAsia="CambriaMath" w:hAnsi="Arial" w:cs="CambriaMath"/>
          <w:color w:val="auto"/>
          <w:sz w:val="14"/>
          <w:szCs w:val="14"/>
          <w:lang w:eastAsia="en-US"/>
        </w:rPr>
        <w:t xml:space="preserve"> </w:t>
      </w:r>
      <w:r>
        <w:rPr>
          <w:rFonts w:ascii="Arial" w:eastAsiaTheme="minorHAnsi" w:hAnsi="Arial" w:cs="Arial"/>
          <w:color w:val="auto"/>
          <w:lang w:eastAsia="en-US"/>
        </w:rPr>
        <w:t>es la movilidad a otorgarse en el mes “m” del año “t” indicados en el</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Arial" w:eastAsiaTheme="minorHAnsi" w:hAnsi="Arial" w:cs="Arial"/>
          <w:color w:val="auto"/>
          <w:lang w:eastAsia="en-US"/>
        </w:rPr>
        <w:t>subíndice.</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SymbolMT" w:eastAsiaTheme="minorHAnsi" w:hAnsi="SymbolMT" w:cs="SymbolMT"/>
          <w:color w:val="auto"/>
          <w:lang w:eastAsia="en-US"/>
        </w:rPr>
        <w:t xml:space="preserve">• </w:t>
      </w:r>
      <w:r>
        <w:rPr>
          <w:rFonts w:ascii="Cambria Math" w:eastAsia="CambriaMath" w:hAnsi="Cambria Math" w:cs="Cambria Math"/>
          <w:color w:val="auto"/>
          <w:lang w:eastAsia="en-US"/>
        </w:rPr>
        <w:t>𝐼𝑃𝐶𝑁</w:t>
      </w:r>
      <w:r>
        <w:rPr>
          <w:rFonts w:ascii="Cambria Math" w:eastAsia="CambriaMath" w:hAnsi="Cambria Math" w:cs="Cambria Math"/>
          <w:color w:val="auto"/>
          <w:sz w:val="17"/>
          <w:szCs w:val="17"/>
          <w:lang w:eastAsia="en-US"/>
        </w:rPr>
        <w:t>𝑚</w:t>
      </w:r>
      <w:r>
        <w:rPr>
          <w:rFonts w:ascii="CambriaMath" w:eastAsia="CambriaMath" w:hAnsi="Arial" w:cs="CambriaMath"/>
          <w:color w:val="auto"/>
          <w:sz w:val="17"/>
          <w:szCs w:val="17"/>
          <w:lang w:eastAsia="en-US"/>
        </w:rPr>
        <w:t xml:space="preserve"> </w:t>
      </w:r>
      <w:r>
        <w:rPr>
          <w:rFonts w:ascii="Cambria Math" w:eastAsia="CambriaMath" w:hAnsi="Cambria Math" w:cs="Cambria Math"/>
          <w:color w:val="auto"/>
          <w:sz w:val="14"/>
          <w:szCs w:val="14"/>
          <w:lang w:eastAsia="en-US"/>
        </w:rPr>
        <w:t>𝑡</w:t>
      </w:r>
      <w:r>
        <w:rPr>
          <w:rFonts w:ascii="CambriaMath" w:eastAsia="CambriaMath" w:hAnsi="Arial" w:cs="CambriaMath"/>
          <w:color w:val="auto"/>
          <w:sz w:val="14"/>
          <w:szCs w:val="14"/>
          <w:lang w:eastAsia="en-US"/>
        </w:rPr>
        <w:t xml:space="preserve"> </w:t>
      </w:r>
      <w:r>
        <w:rPr>
          <w:rFonts w:ascii="Arial" w:eastAsiaTheme="minorHAnsi" w:hAnsi="Arial" w:cs="Arial"/>
          <w:color w:val="auto"/>
          <w:lang w:eastAsia="en-US"/>
        </w:rPr>
        <w:t>es el valor del Nivel General del Índice de Precios al Consumidor con</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Arial" w:eastAsiaTheme="minorHAnsi" w:hAnsi="Arial" w:cs="Arial"/>
          <w:color w:val="auto"/>
          <w:lang w:eastAsia="en-US"/>
        </w:rPr>
        <w:t>cobertura Nacional, publicado por el INSTITUTO NACIONAL DE</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Arial" w:eastAsiaTheme="minorHAnsi" w:hAnsi="Arial" w:cs="Arial"/>
          <w:color w:val="auto"/>
          <w:lang w:eastAsia="en-US"/>
        </w:rPr>
        <w:t>ESTADÍSTICAS Y CENSOS, correspondiente al mes “m” y año “t” del</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Arial" w:eastAsiaTheme="minorHAnsi" w:hAnsi="Arial" w:cs="Arial"/>
          <w:color w:val="auto"/>
          <w:lang w:eastAsia="en-US"/>
        </w:rPr>
        <w:t>subíndice.</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SymbolMT" w:eastAsiaTheme="minorHAnsi" w:hAnsi="SymbolMT" w:cs="SymbolMT"/>
          <w:color w:val="auto"/>
          <w:lang w:eastAsia="en-US"/>
        </w:rPr>
        <w:t xml:space="preserve">• </w:t>
      </w:r>
      <w:r>
        <w:rPr>
          <w:rFonts w:ascii="CambriaMath" w:eastAsia="CambriaMath" w:hAnsi="Arial" w:cs="CambriaMath" w:hint="eastAsia"/>
          <w:color w:val="auto"/>
          <w:lang w:eastAsia="en-US"/>
        </w:rPr>
        <w:t>Δ</w:t>
      </w:r>
      <w:r>
        <w:rPr>
          <w:rFonts w:ascii="CambriaMath" w:eastAsia="CambriaMath" w:hAnsi="Arial" w:cs="CambriaMath"/>
          <w:color w:val="auto"/>
          <w:lang w:eastAsia="en-US"/>
        </w:rPr>
        <w:t xml:space="preserve"> </w:t>
      </w:r>
      <w:r>
        <w:rPr>
          <w:rFonts w:ascii="Cambria Math" w:eastAsia="CambriaMath" w:hAnsi="Cambria Math" w:cs="Cambria Math"/>
          <w:color w:val="auto"/>
          <w:lang w:eastAsia="en-US"/>
        </w:rPr>
        <w:t>𝑃𝐼𝐵</w:t>
      </w:r>
      <w:r>
        <w:rPr>
          <w:rFonts w:ascii="CambriaMath" w:eastAsia="CambriaMath" w:hAnsi="Arial" w:cs="CambriaMath"/>
          <w:color w:val="auto"/>
          <w:sz w:val="17"/>
          <w:szCs w:val="17"/>
          <w:lang w:eastAsia="en-US"/>
        </w:rPr>
        <w:t>2</w:t>
      </w:r>
      <w:r>
        <w:rPr>
          <w:rFonts w:ascii="Cambria Math" w:eastAsia="CambriaMath" w:hAnsi="Cambria Math" w:cs="Cambria Math"/>
          <w:color w:val="auto"/>
          <w:sz w:val="17"/>
          <w:szCs w:val="17"/>
          <w:lang w:eastAsia="en-US"/>
        </w:rPr>
        <w:t>𝑑𝑜</w:t>
      </w:r>
      <w:r>
        <w:rPr>
          <w:rFonts w:ascii="CambriaMath" w:eastAsia="CambriaMath" w:hAnsi="Arial" w:cs="CambriaMath"/>
          <w:color w:val="auto"/>
          <w:sz w:val="17"/>
          <w:szCs w:val="17"/>
          <w:lang w:eastAsia="en-US"/>
        </w:rPr>
        <w:t xml:space="preserve"> </w:t>
      </w:r>
      <w:r>
        <w:rPr>
          <w:rFonts w:ascii="Cambria Math" w:eastAsia="CambriaMath" w:hAnsi="Cambria Math" w:cs="Cambria Math"/>
          <w:color w:val="auto"/>
          <w:sz w:val="17"/>
          <w:szCs w:val="17"/>
          <w:lang w:eastAsia="en-US"/>
        </w:rPr>
        <w:t>𝑠𝑒𝑚𝑒𝑠𝑡𝑟𝑒</w:t>
      </w:r>
      <w:r>
        <w:rPr>
          <w:rFonts w:ascii="CambriaMath" w:eastAsia="CambriaMath" w:hAnsi="Arial" w:cs="CambriaMath"/>
          <w:color w:val="auto"/>
          <w:sz w:val="17"/>
          <w:szCs w:val="17"/>
          <w:lang w:eastAsia="en-US"/>
        </w:rPr>
        <w:t xml:space="preserve"> 2017 </w:t>
      </w:r>
      <w:r>
        <w:rPr>
          <w:rFonts w:ascii="Arial" w:eastAsiaTheme="minorHAnsi" w:hAnsi="Arial" w:cs="Arial"/>
          <w:color w:val="auto"/>
          <w:lang w:eastAsia="en-US"/>
        </w:rPr>
        <w:t>es la variación porcentual del Producto Interno Bruto del</w:t>
      </w:r>
    </w:p>
    <w:p w:rsidR="000A4713" w:rsidRPr="000A4713" w:rsidRDefault="000A4713" w:rsidP="000A4713">
      <w:pPr>
        <w:autoSpaceDE w:val="0"/>
        <w:autoSpaceDN w:val="0"/>
        <w:adjustRightInd w:val="0"/>
        <w:ind w:left="851"/>
        <w:rPr>
          <w:rFonts w:ascii="Arial" w:eastAsiaTheme="minorHAnsi" w:hAnsi="Arial" w:cs="Arial"/>
          <w:color w:val="auto"/>
          <w:lang w:eastAsia="en-US"/>
        </w:rPr>
      </w:pPr>
      <w:r>
        <w:rPr>
          <w:rFonts w:ascii="Arial" w:eastAsiaTheme="minorHAnsi" w:hAnsi="Arial" w:cs="Arial"/>
          <w:color w:val="auto"/>
          <w:lang w:eastAsia="en-US"/>
        </w:rPr>
        <w:t>segundo semestre del año 2017 en términos reales</w:t>
      </w:r>
    </w:p>
    <w:p w:rsidR="000A4713" w:rsidRDefault="000A4713" w:rsidP="000A4713">
      <w:pPr>
        <w:autoSpaceDE w:val="0"/>
        <w:autoSpaceDN w:val="0"/>
        <w:adjustRightInd w:val="0"/>
        <w:ind w:left="851"/>
        <w:rPr>
          <w:rFonts w:ascii="Arial" w:eastAsiaTheme="minorHAnsi" w:hAnsi="Arial" w:cs="Arial"/>
          <w:color w:val="auto"/>
          <w:lang w:eastAsia="en-US"/>
        </w:rPr>
      </w:pPr>
      <w:r>
        <w:rPr>
          <w:rFonts w:ascii="SymbolMT" w:eastAsiaTheme="minorHAnsi" w:hAnsi="SymbolMT" w:cs="SymbolMT"/>
          <w:color w:val="auto"/>
          <w:lang w:eastAsia="en-US"/>
        </w:rPr>
        <w:t xml:space="preserve">• </w:t>
      </w:r>
      <w:r>
        <w:rPr>
          <w:rFonts w:ascii="CambriaMath" w:eastAsia="CambriaMath" w:hAnsi="Arial" w:cs="CambriaMath" w:hint="eastAsia"/>
          <w:color w:val="auto"/>
          <w:lang w:eastAsia="en-US"/>
        </w:rPr>
        <w:t>Δ</w:t>
      </w:r>
      <w:r>
        <w:rPr>
          <w:rFonts w:ascii="CambriaMath" w:eastAsia="CambriaMath" w:hAnsi="Arial" w:cs="CambriaMath"/>
          <w:color w:val="auto"/>
          <w:lang w:eastAsia="en-US"/>
        </w:rPr>
        <w:t xml:space="preserve"> </w:t>
      </w:r>
      <w:r>
        <w:rPr>
          <w:rFonts w:ascii="Cambria Math" w:eastAsia="CambriaMath" w:hAnsi="Cambria Math" w:cs="Cambria Math"/>
          <w:color w:val="auto"/>
          <w:lang w:eastAsia="en-US"/>
        </w:rPr>
        <w:t>𝑃𝐼𝐵</w:t>
      </w:r>
      <w:r>
        <w:rPr>
          <w:rFonts w:ascii="Cambria Math" w:eastAsia="CambriaMath" w:hAnsi="Cambria Math" w:cs="Cambria Math"/>
          <w:color w:val="auto"/>
          <w:sz w:val="17"/>
          <w:szCs w:val="17"/>
          <w:lang w:eastAsia="en-US"/>
        </w:rPr>
        <w:t>𝑡</w:t>
      </w:r>
      <w:r>
        <w:rPr>
          <w:rFonts w:ascii="CambriaMath" w:eastAsia="CambriaMath" w:hAnsi="Arial" w:cs="CambriaMath" w:hint="eastAsia"/>
          <w:color w:val="auto"/>
          <w:sz w:val="17"/>
          <w:szCs w:val="17"/>
          <w:lang w:eastAsia="en-US"/>
        </w:rPr>
        <w:t>−</w:t>
      </w:r>
      <w:r>
        <w:rPr>
          <w:rFonts w:ascii="CambriaMath" w:eastAsia="CambriaMath" w:hAnsi="Arial" w:cs="CambriaMath"/>
          <w:color w:val="auto"/>
          <w:sz w:val="17"/>
          <w:szCs w:val="17"/>
          <w:lang w:eastAsia="en-US"/>
        </w:rPr>
        <w:t xml:space="preserve">1 </w:t>
      </w:r>
      <w:r>
        <w:rPr>
          <w:rFonts w:ascii="Arial" w:eastAsiaTheme="minorHAnsi" w:hAnsi="Arial" w:cs="Arial"/>
          <w:color w:val="auto"/>
          <w:lang w:eastAsia="en-US"/>
        </w:rPr>
        <w:t>es la variación porcentual del Producto Interno Bruto del año “t-1” en</w:t>
      </w:r>
    </w:p>
    <w:p w:rsidR="000A4713" w:rsidRDefault="000A4713" w:rsidP="000A4713">
      <w:pPr>
        <w:tabs>
          <w:tab w:val="left" w:pos="2730"/>
        </w:tabs>
        <w:ind w:left="851"/>
        <w:jc w:val="both"/>
        <w:rPr>
          <w:rFonts w:ascii="Trebuchet MS" w:hAnsi="Trebuchet MS"/>
          <w:sz w:val="22"/>
          <w:szCs w:val="22"/>
        </w:rPr>
      </w:pPr>
      <w:r>
        <w:rPr>
          <w:rFonts w:ascii="Arial" w:eastAsiaTheme="minorHAnsi" w:hAnsi="Arial" w:cs="Arial"/>
          <w:color w:val="auto"/>
          <w:lang w:eastAsia="en-US"/>
        </w:rPr>
        <w:t>términos reales</w:t>
      </w:r>
    </w:p>
    <w:p w:rsidR="000A4713" w:rsidRDefault="000A4713" w:rsidP="00730167">
      <w:pPr>
        <w:tabs>
          <w:tab w:val="left" w:pos="2730"/>
        </w:tabs>
        <w:ind w:left="851"/>
        <w:jc w:val="both"/>
        <w:rPr>
          <w:rFonts w:ascii="Trebuchet MS" w:hAnsi="Trebuchet MS"/>
          <w:sz w:val="22"/>
          <w:szCs w:val="22"/>
        </w:rPr>
      </w:pPr>
    </w:p>
    <w:sectPr w:rsidR="000A4713" w:rsidSect="007D7EF6">
      <w:headerReference w:type="even" r:id="rId8"/>
      <w:headerReference w:type="default" r:id="rId9"/>
      <w:footerReference w:type="even" r:id="rId10"/>
      <w:footerReference w:type="default" r:id="rId11"/>
      <w:pgSz w:w="11900" w:h="16840"/>
      <w:pgMar w:top="168" w:right="680" w:bottom="1134" w:left="90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74" w:rsidRDefault="00B83874">
      <w:r>
        <w:separator/>
      </w:r>
    </w:p>
  </w:endnote>
  <w:endnote w:type="continuationSeparator" w:id="0">
    <w:p w:rsidR="00B83874" w:rsidRDefault="00B8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B83874">
    <w:pPr>
      <w:pStyle w:val="Piedepgina"/>
    </w:pPr>
  </w:p>
  <w:p w:rsidR="00340737" w:rsidRDefault="00340737"/>
  <w:p w:rsidR="00340737" w:rsidRDefault="003407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0"/>
        <w:szCs w:val="20"/>
      </w:rPr>
      <w:id w:val="-95027341"/>
      <w:docPartObj>
        <w:docPartGallery w:val="Page Numbers (Bottom of Page)"/>
        <w:docPartUnique/>
      </w:docPartObj>
    </w:sdtPr>
    <w:sdtEndPr/>
    <w:sdtContent>
      <w:p w:rsidR="00126898" w:rsidRPr="004A3B16" w:rsidRDefault="00A554DC">
        <w:pPr>
          <w:pStyle w:val="Piedepgina"/>
          <w:jc w:val="right"/>
          <w:rPr>
            <w:rFonts w:ascii="Trebuchet MS" w:hAnsi="Trebuchet MS"/>
            <w:sz w:val="20"/>
            <w:szCs w:val="20"/>
          </w:rPr>
        </w:pPr>
        <w:r w:rsidRPr="004A3B16">
          <w:rPr>
            <w:rFonts w:ascii="Trebuchet MS" w:hAnsi="Trebuchet MS"/>
            <w:sz w:val="20"/>
            <w:szCs w:val="20"/>
          </w:rPr>
          <w:fldChar w:fldCharType="begin"/>
        </w:r>
        <w:r w:rsidRPr="004A3B16">
          <w:rPr>
            <w:rFonts w:ascii="Trebuchet MS" w:hAnsi="Trebuchet MS"/>
            <w:sz w:val="20"/>
            <w:szCs w:val="20"/>
          </w:rPr>
          <w:instrText>PAGE   \* MERGEFORMAT</w:instrText>
        </w:r>
        <w:r w:rsidRPr="004A3B16">
          <w:rPr>
            <w:rFonts w:ascii="Trebuchet MS" w:hAnsi="Trebuchet MS"/>
            <w:sz w:val="20"/>
            <w:szCs w:val="20"/>
          </w:rPr>
          <w:fldChar w:fldCharType="separate"/>
        </w:r>
        <w:r w:rsidR="00B83874" w:rsidRPr="00B83874">
          <w:rPr>
            <w:rFonts w:ascii="Trebuchet MS" w:hAnsi="Trebuchet MS"/>
            <w:noProof/>
            <w:sz w:val="20"/>
            <w:szCs w:val="20"/>
            <w:lang w:val="es-ES"/>
          </w:rPr>
          <w:t>1</w:t>
        </w:r>
        <w:r w:rsidRPr="004A3B16">
          <w:rPr>
            <w:rFonts w:ascii="Trebuchet MS" w:hAnsi="Trebuchet MS"/>
            <w:sz w:val="20"/>
            <w:szCs w:val="20"/>
          </w:rPr>
          <w:fldChar w:fldCharType="end"/>
        </w:r>
      </w:p>
    </w:sdtContent>
  </w:sdt>
  <w:p w:rsidR="00F60B17" w:rsidRDefault="00B83874">
    <w:pPr>
      <w:tabs>
        <w:tab w:val="center" w:pos="4252"/>
        <w:tab w:val="right" w:pos="8504"/>
      </w:tabs>
      <w:spacing w:after="708"/>
      <w:ind w:left="-1560"/>
    </w:pPr>
  </w:p>
  <w:p w:rsidR="00340737" w:rsidRDefault="00340737"/>
  <w:p w:rsidR="00340737" w:rsidRDefault="003407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74" w:rsidRDefault="00B83874">
      <w:r>
        <w:separator/>
      </w:r>
    </w:p>
  </w:footnote>
  <w:footnote w:type="continuationSeparator" w:id="0">
    <w:p w:rsidR="00B83874" w:rsidRDefault="00B8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B83874">
    <w:pPr>
      <w:pStyle w:val="Encabezado"/>
    </w:pPr>
  </w:p>
  <w:p w:rsidR="00340737" w:rsidRDefault="00340737"/>
  <w:p w:rsidR="00340737" w:rsidRDefault="003407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7" w:rsidRDefault="00A554DC" w:rsidP="008B7846">
    <w:pPr>
      <w:tabs>
        <w:tab w:val="center" w:pos="4252"/>
        <w:tab w:val="right" w:pos="8504"/>
      </w:tabs>
      <w:spacing w:before="708"/>
      <w:ind w:right="-1701"/>
    </w:pPr>
    <w:r w:rsidRPr="0054744B">
      <w:rPr>
        <w:rFonts w:ascii="Trebuchet MS" w:hAnsi="Trebuchet MS"/>
        <w:noProof/>
        <w:sz w:val="22"/>
        <w:szCs w:val="22"/>
      </w:rPr>
      <w:drawing>
        <wp:inline distT="0" distB="0" distL="0" distR="0" wp14:anchorId="21E7464A" wp14:editId="4080537C">
          <wp:extent cx="1809750" cy="447675"/>
          <wp:effectExtent l="0" t="0" r="0" b="9525"/>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822619" cy="450858"/>
                  </a:xfrm>
                  <a:prstGeom prst="rect">
                    <a:avLst/>
                  </a:prstGeom>
                  <a:ln/>
                </pic:spPr>
              </pic:pic>
            </a:graphicData>
          </a:graphic>
        </wp:inline>
      </w:drawing>
    </w:r>
    <w:r>
      <w:rPr>
        <w:noProof/>
      </w:rPr>
      <w:drawing>
        <wp:inline distT="0" distB="0" distL="0" distR="0" wp14:anchorId="160F8448" wp14:editId="6C527587">
          <wp:extent cx="6548755" cy="554434"/>
          <wp:effectExtent l="0" t="0" r="4445" b="0"/>
          <wp:docPr id="8" name="Imagen 8" descr="C:\Users\delcioppom\Desktop\ENCABEZADOS INFORMES\Encabezados 2017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cioppom\Desktop\ENCABEZADOS INFORMES\Encabezados 2017 2-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8755" cy="554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89"/>
    <w:multiLevelType w:val="hybridMultilevel"/>
    <w:tmpl w:val="6B5E7140"/>
    <w:lvl w:ilvl="0" w:tplc="2C0A0005">
      <w:start w:val="1"/>
      <w:numFmt w:val="bullet"/>
      <w:lvlText w:val=""/>
      <w:lvlJc w:val="left"/>
      <w:pPr>
        <w:ind w:left="720" w:hanging="360"/>
      </w:pPr>
      <w:rPr>
        <w:rFonts w:ascii="Wingdings" w:hAnsi="Wingdings"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0BC23BE"/>
    <w:multiLevelType w:val="hybridMultilevel"/>
    <w:tmpl w:val="3C167C84"/>
    <w:lvl w:ilvl="0" w:tplc="EE96AD6A">
      <w:start w:val="1"/>
      <w:numFmt w:val="bullet"/>
      <w:lvlText w:val=""/>
      <w:lvlJc w:val="left"/>
      <w:pPr>
        <w:ind w:left="720" w:hanging="360"/>
      </w:pPr>
      <w:rPr>
        <w:rFonts w:ascii="Wingdings" w:hAnsi="Wingdings"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8280E02"/>
    <w:multiLevelType w:val="hybridMultilevel"/>
    <w:tmpl w:val="6CEE6E90"/>
    <w:lvl w:ilvl="0" w:tplc="2C0A0005">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3" w15:restartNumberingAfterBreak="0">
    <w:nsid w:val="6F542D2E"/>
    <w:multiLevelType w:val="hybridMultilevel"/>
    <w:tmpl w:val="FD483E6E"/>
    <w:lvl w:ilvl="0" w:tplc="2C0A0005">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4" w15:restartNumberingAfterBreak="0">
    <w:nsid w:val="7BDC6F3A"/>
    <w:multiLevelType w:val="hybridMultilevel"/>
    <w:tmpl w:val="AA2255E2"/>
    <w:lvl w:ilvl="0" w:tplc="2C0A0005">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7"/>
    <w:rsid w:val="000A4713"/>
    <w:rsid w:val="00295F84"/>
    <w:rsid w:val="00340737"/>
    <w:rsid w:val="006A5D79"/>
    <w:rsid w:val="00730167"/>
    <w:rsid w:val="0073189F"/>
    <w:rsid w:val="00880744"/>
    <w:rsid w:val="00A554DC"/>
    <w:rsid w:val="00B83874"/>
    <w:rsid w:val="00BB606D"/>
    <w:rsid w:val="00D10027"/>
    <w:rsid w:val="00F04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F931-1210-4EFB-94CF-2B6D74A8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167"/>
    <w:pPr>
      <w:spacing w:after="0" w:line="240" w:lineRule="auto"/>
    </w:pPr>
    <w:rPr>
      <w:rFonts w:ascii="Cambria" w:eastAsia="Cambria" w:hAnsi="Cambria" w:cs="Cambria"/>
      <w:color w:val="000000"/>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016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167"/>
    <w:rPr>
      <w:rFonts w:ascii="Tahoma" w:hAnsi="Tahoma" w:cs="Tahoma"/>
      <w:sz w:val="16"/>
      <w:szCs w:val="16"/>
    </w:rPr>
  </w:style>
  <w:style w:type="paragraph" w:styleId="Encabezado">
    <w:name w:val="header"/>
    <w:basedOn w:val="Normal"/>
    <w:link w:val="EncabezadoCar"/>
    <w:uiPriority w:val="99"/>
    <w:unhideWhenUsed/>
    <w:rsid w:val="00730167"/>
    <w:pPr>
      <w:tabs>
        <w:tab w:val="center" w:pos="4419"/>
        <w:tab w:val="right" w:pos="8838"/>
      </w:tabs>
    </w:pPr>
  </w:style>
  <w:style w:type="character" w:customStyle="1" w:styleId="EncabezadoCar">
    <w:name w:val="Encabezado Car"/>
    <w:basedOn w:val="Fuentedeprrafopredeter"/>
    <w:link w:val="Encabezado"/>
    <w:uiPriority w:val="99"/>
    <w:rsid w:val="00730167"/>
    <w:rPr>
      <w:rFonts w:ascii="Cambria" w:eastAsia="Cambria" w:hAnsi="Cambria" w:cs="Cambria"/>
      <w:color w:val="000000"/>
      <w:sz w:val="24"/>
      <w:szCs w:val="24"/>
      <w:lang w:eastAsia="es-AR"/>
    </w:rPr>
  </w:style>
  <w:style w:type="paragraph" w:styleId="Piedepgina">
    <w:name w:val="footer"/>
    <w:basedOn w:val="Normal"/>
    <w:link w:val="PiedepginaCar"/>
    <w:uiPriority w:val="99"/>
    <w:unhideWhenUsed/>
    <w:rsid w:val="00730167"/>
    <w:pPr>
      <w:tabs>
        <w:tab w:val="center" w:pos="4419"/>
        <w:tab w:val="right" w:pos="8838"/>
      </w:tabs>
    </w:pPr>
  </w:style>
  <w:style w:type="character" w:customStyle="1" w:styleId="PiedepginaCar">
    <w:name w:val="Pie de página Car"/>
    <w:basedOn w:val="Fuentedeprrafopredeter"/>
    <w:link w:val="Piedepgina"/>
    <w:uiPriority w:val="99"/>
    <w:rsid w:val="00730167"/>
    <w:rPr>
      <w:rFonts w:ascii="Cambria" w:eastAsia="Cambria" w:hAnsi="Cambria" w:cs="Cambria"/>
      <w:color w:val="000000"/>
      <w:sz w:val="24"/>
      <w:szCs w:val="24"/>
      <w:lang w:eastAsia="es-AR"/>
    </w:rPr>
  </w:style>
  <w:style w:type="paragraph" w:styleId="Prrafodelista">
    <w:name w:val="List Paragraph"/>
    <w:basedOn w:val="Normal"/>
    <w:uiPriority w:val="34"/>
    <w:qFormat/>
    <w:rsid w:val="00730167"/>
    <w:pPr>
      <w:ind w:left="720"/>
      <w:contextualSpacing/>
    </w:pPr>
  </w:style>
  <w:style w:type="table" w:styleId="Tablaconcuadrcula">
    <w:name w:val="Table Grid"/>
    <w:basedOn w:val="Tablanormal"/>
    <w:uiPriority w:val="59"/>
    <w:rsid w:val="0073016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Toledo</dc:creator>
  <cp:lastModifiedBy>Vanesa Muñoz</cp:lastModifiedBy>
  <cp:revision>2</cp:revision>
  <dcterms:created xsi:type="dcterms:W3CDTF">2017-11-22T19:21:00Z</dcterms:created>
  <dcterms:modified xsi:type="dcterms:W3CDTF">2017-11-22T19:21:00Z</dcterms:modified>
</cp:coreProperties>
</file>